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3.jpeg" ContentType="image/jpeg"/>
  <Override PartName="/word/media/image4.jpeg" ContentType="image/jpeg"/>
  <Override PartName="/word/media/image5.jpeg" ContentType="image/jpeg"/>
  <Override PartName="/word/media/image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hd w:fill="000000" w:val="clear"/>
        <w:rPr/>
      </w:pPr>
      <w:r>
        <w:rPr/>
        <w:t xml:space="preserve">                        </w:t>
      </w:r>
    </w:p>
    <w:p>
      <w:pPr>
        <w:pStyle w:val="style0"/>
        <w:shd w:fill="000000" w:val="clear"/>
        <w:rPr>
          <w:rFonts w:ascii="Arial Black" w:hAnsi="Arial Black"/>
          <w:i/>
          <w:sz w:val="72"/>
          <w:szCs w:val="72"/>
        </w:rPr>
      </w:pPr>
      <w:r>
        <w:rPr/>
        <w:t xml:space="preserve">                        </w:t>
      </w:r>
      <w:r>
        <w:rPr>
          <w:rFonts w:ascii="Arial Black" w:hAnsi="Arial Black"/>
          <w:i/>
          <w:sz w:val="72"/>
          <w:szCs w:val="72"/>
        </w:rPr>
        <w:t>HADRIAN’S VILLA</w:t>
      </w:r>
    </w:p>
    <w:p>
      <w:pPr>
        <w:pStyle w:val="style0"/>
        <w:shd w:fill="000000" w:val="clear"/>
        <w:rPr/>
      </w:pPr>
      <w:r>
        <w:rPr/>
      </w:r>
    </w:p>
    <w:p>
      <w:pPr>
        <w:pStyle w:val="style0"/>
        <w:shd w:fill="FFC000" w:val="clear"/>
        <w:rPr/>
      </w:pPr>
      <w:r>
        <w:rPr/>
      </w:r>
    </w:p>
    <w:p>
      <w:pPr>
        <w:pStyle w:val="style0"/>
        <w:shd w:fill="FFC000" w:val="clear"/>
        <w:rPr/>
      </w:pPr>
      <w:r>
        <w:rPr/>
      </w:r>
    </w:p>
    <w:p>
      <w:pPr>
        <w:pStyle w:val="style0"/>
        <w:shd w:fill="FFC000" w:val="clear"/>
        <w:rPr/>
      </w:pPr>
      <w:r>
        <w:rPr/>
      </w:r>
    </w:p>
    <w:p>
      <w:pPr>
        <w:pStyle w:val="style0"/>
        <w:shd w:fill="FFC000" w:val="clear"/>
        <w:rPr>
          <w:sz w:val="30"/>
          <w:szCs w:val="30"/>
        </w:rPr>
      </w:pPr>
      <w:r>
        <w:rPr/>
        <w:drawing>
          <wp:inline distB="0" distL="0" distR="0" distT="0">
            <wp:extent cx="6096000" cy="3780790"/>
            <wp:effectExtent b="0" l="0" r="0" t="0"/>
            <wp:docPr descr="villa-adriana.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illa-adriana.jpg" id="0" name="Picture"/>
                    <pic:cNvPicPr>
                      <a:picLocks noChangeArrowheads="1" noChangeAspect="1"/>
                    </pic:cNvPicPr>
                  </pic:nvPicPr>
                  <pic:blipFill>
                    <a:blip r:embed="rId2"/>
                    <a:srcRect/>
                    <a:stretch>
                      <a:fillRect/>
                    </a:stretch>
                  </pic:blipFill>
                  <pic:spPr bwMode="auto">
                    <a:xfrm>
                      <a:off x="0" y="0"/>
                      <a:ext cx="6096000" cy="3780790"/>
                    </a:xfrm>
                    <a:prstGeom prst="rect">
                      <a:avLst/>
                    </a:prstGeom>
                    <a:noFill/>
                    <a:ln w="9525">
                      <a:noFill/>
                      <a:miter lim="800000"/>
                      <a:headEnd/>
                      <a:tailEnd/>
                    </a:ln>
                  </pic:spPr>
                </pic:pic>
              </a:graphicData>
            </a:graphic>
          </wp:inline>
        </w:drawing>
      </w:r>
      <w:r>
        <w:rPr>
          <w:b/>
          <w:sz w:val="30"/>
          <w:szCs w:val="30"/>
        </w:rPr>
        <w:t>Address:</w:t>
      </w:r>
      <w:r>
        <w:rPr>
          <w:sz w:val="30"/>
          <w:szCs w:val="30"/>
        </w:rPr>
        <w:t xml:space="preserve"> Largo Marguerite Yourcenar, 1-00019 Tivoli (RM)</w:t>
      </w:r>
    </w:p>
    <w:p>
      <w:pPr>
        <w:pStyle w:val="style25"/>
        <w:numPr>
          <w:ilvl w:val="0"/>
          <w:numId w:val="1"/>
        </w:numPr>
        <w:shd w:fill="FFC000" w:val="clear"/>
        <w:rPr>
          <w:sz w:val="30"/>
          <w:szCs w:val="30"/>
          <w:lang w:val="en-US"/>
        </w:rPr>
      </w:pPr>
      <w:r>
        <w:rPr>
          <w:b/>
          <w:sz w:val="30"/>
          <w:szCs w:val="30"/>
          <w:lang w:val="en-US"/>
        </w:rPr>
        <w:t>Tickets</w:t>
      </w:r>
      <w:r>
        <w:rPr>
          <w:sz w:val="30"/>
          <w:szCs w:val="30"/>
          <w:lang w:val="en-US"/>
        </w:rPr>
        <w:t>: Standard Ticket: 8.00; Reduced Ticket: 4.00; with events 11.00</w:t>
      </w:r>
    </w:p>
    <w:p>
      <w:pPr>
        <w:pStyle w:val="style25"/>
        <w:numPr>
          <w:ilvl w:val="0"/>
          <w:numId w:val="1"/>
        </w:numPr>
        <w:shd w:fill="FFC000" w:val="clear"/>
        <w:rPr>
          <w:sz w:val="30"/>
          <w:szCs w:val="30"/>
          <w:lang w:val="en-US"/>
        </w:rPr>
      </w:pPr>
      <w:r>
        <w:rPr>
          <w:b/>
          <w:sz w:val="30"/>
          <w:szCs w:val="30"/>
          <w:lang w:val="en-US"/>
        </w:rPr>
        <w:t>Tickets information</w:t>
      </w:r>
      <w:r>
        <w:rPr>
          <w:sz w:val="30"/>
          <w:szCs w:val="30"/>
          <w:lang w:val="en-US"/>
        </w:rPr>
        <w:t>: +39 0774382733</w:t>
      </w:r>
    </w:p>
    <w:p>
      <w:pPr>
        <w:pStyle w:val="style25"/>
        <w:numPr>
          <w:ilvl w:val="0"/>
          <w:numId w:val="1"/>
        </w:numPr>
        <w:shd w:fill="FFC000" w:val="clear"/>
        <w:rPr>
          <w:sz w:val="30"/>
          <w:szCs w:val="30"/>
          <w:lang w:val="en-US"/>
        </w:rPr>
      </w:pPr>
      <w:r>
        <w:rPr>
          <w:b/>
          <w:sz w:val="30"/>
          <w:szCs w:val="30"/>
          <w:lang w:val="en-US"/>
        </w:rPr>
        <w:t>Telephone</w:t>
      </w:r>
      <w:r>
        <w:rPr>
          <w:sz w:val="30"/>
          <w:szCs w:val="30"/>
          <w:lang w:val="en-US"/>
        </w:rPr>
        <w:t>: +39 0774 530203</w:t>
      </w:r>
    </w:p>
    <w:p>
      <w:pPr>
        <w:pStyle w:val="style25"/>
        <w:numPr>
          <w:ilvl w:val="0"/>
          <w:numId w:val="1"/>
        </w:numPr>
        <w:shd w:fill="FFC000" w:val="clear"/>
        <w:rPr>
          <w:sz w:val="30"/>
          <w:szCs w:val="30"/>
          <w:lang w:val="en-US"/>
        </w:rPr>
      </w:pPr>
      <w:r>
        <w:rPr>
          <w:b/>
          <w:sz w:val="30"/>
          <w:szCs w:val="30"/>
          <w:lang w:val="en-US"/>
        </w:rPr>
        <w:t>Fax</w:t>
      </w:r>
      <w:r>
        <w:rPr>
          <w:sz w:val="30"/>
          <w:szCs w:val="30"/>
          <w:lang w:val="en-US"/>
        </w:rPr>
        <w:t>: +39 0774 531979</w:t>
      </w:r>
    </w:p>
    <w:p>
      <w:pPr>
        <w:pStyle w:val="style0"/>
        <w:shd w:fill="FFC000" w:val="clear"/>
        <w:rPr>
          <w:sz w:val="30"/>
          <w:szCs w:val="30"/>
          <w:lang w:val="en-US"/>
        </w:rPr>
      </w:pPr>
      <w:r>
        <w:rPr>
          <w:b/>
          <w:sz w:val="30"/>
          <w:szCs w:val="30"/>
          <w:lang w:val="en-US"/>
        </w:rPr>
        <w:t>Email</w:t>
      </w:r>
      <w:r>
        <w:rPr>
          <w:sz w:val="30"/>
          <w:szCs w:val="30"/>
          <w:lang w:val="en-US"/>
        </w:rPr>
        <w:t xml:space="preserve">: </w:t>
      </w:r>
      <w:hyperlink r:id="rId3">
        <w:r>
          <w:rPr>
            <w:rStyle w:val="style17"/>
            <w:sz w:val="30"/>
            <w:szCs w:val="30"/>
            <w:lang w:val="en-US"/>
          </w:rPr>
          <w:t>villaadriana@coopculture.it</w:t>
        </w:r>
      </w:hyperlink>
      <w:r>
        <w:rPr>
          <w:sz w:val="30"/>
          <w:szCs w:val="30"/>
          <w:lang w:val="en-US"/>
        </w:rPr>
        <w:t xml:space="preserve"> (mailto:villaadriana@coopculture.it)</w:t>
      </w:r>
    </w:p>
    <w:p>
      <w:pPr>
        <w:pStyle w:val="style0"/>
        <w:shd w:fill="FFC000" w:val="clear"/>
        <w:rPr/>
      </w:pPr>
      <w:r>
        <w:rPr/>
      </w:r>
    </w:p>
    <w:p>
      <w:pPr>
        <w:pStyle w:val="style25"/>
        <w:numPr>
          <w:ilvl w:val="0"/>
          <w:numId w:val="1"/>
        </w:numPr>
        <w:shd w:fill="FFC000" w:val="clear"/>
        <w:rPr/>
      </w:pPr>
      <w:r>
        <w:rPr/>
      </w:r>
    </w:p>
    <w:p>
      <w:pPr>
        <w:pStyle w:val="style0"/>
        <w:shd w:fill="FFC000" w:val="clear"/>
        <w:rPr>
          <w:b/>
          <w:i/>
          <w:sz w:val="28"/>
          <w:szCs w:val="28"/>
          <w:lang w:val="en-US"/>
        </w:rPr>
      </w:pPr>
      <w:r>
        <w:rPr>
          <w:b/>
          <w:i/>
          <w:sz w:val="28"/>
          <w:szCs w:val="28"/>
          <w:lang w:val="en-US"/>
        </w:rPr>
        <w:t xml:space="preserve">Hadrian’s Villa </w:t>
      </w:r>
      <w:r>
        <w:rPr>
          <w:b/>
          <w:i/>
          <w:sz w:val="28"/>
          <w:szCs w:val="28"/>
          <w:u w:val="single"/>
          <w:lang w:val="en-US"/>
        </w:rPr>
        <w:t xml:space="preserve">in Tivoli </w:t>
      </w:r>
      <w:r>
        <w:rPr>
          <w:b/>
          <w:i/>
          <w:sz w:val="28"/>
          <w:szCs w:val="28"/>
          <w:lang w:val="en-US"/>
        </w:rPr>
        <w:t xml:space="preserve"> bears witness to the grandeur of the Roman Empire. It is one of the best kept and most visited archaeological sites in Italy. This is why it has been listed as a UNESCO World Heritage Site since 1999.</w:t>
      </w:r>
    </w:p>
    <w:p>
      <w:pPr>
        <w:pStyle w:val="style0"/>
        <w:shd w:fill="FFC000" w:val="clear"/>
        <w:rPr>
          <w:lang w:val="en-US"/>
        </w:rPr>
      </w:pPr>
      <w:r>
        <w:rPr>
          <w:lang w:val="en-US"/>
        </w:rPr>
        <w:t>The villa was built by Roman Emperor Hadrian at the foot of the Tiburtine Hills between 118 and 138 AD. The vast Residential complex extend over an area of about 120 hectares (about 300 acres) and looked very much like an ancient Roman city. The site included buildings, baths, temples, barracks, theatres, gardens, fountains, and nymphaeums. The villa itself was designed on two levels: the upper floor, quiet and welcoming, was reserved for the Emperors official use, while the lower floor was noisy and bustled with the work of slaves. Today, of the ancient pomp, It is possible to see only 40 hectares, which fortunately still attest to the magnificence and significance of this complex. Some parts were explicitly commissioned by Hadrian to represent the empire’s many provinces that he had visited himself:</w:t>
        <w:drawing>
          <wp:anchor allowOverlap="1" behindDoc="0" distB="0" distL="0" distR="0" distT="0" layoutInCell="1" locked="0" relativeHeight="0" simplePos="0">
            <wp:simplePos x="0" y="0"/>
            <wp:positionH relativeFrom="column">
              <wp:posOffset>0</wp:posOffset>
            </wp:positionH>
            <wp:positionV relativeFrom="paragraph">
              <wp:posOffset>0</wp:posOffset>
            </wp:positionV>
            <wp:extent cx="3681095" cy="2609850"/>
            <wp:effectExtent b="0" l="0" r="0" t="0"/>
            <wp:wrapSquare wrapText="bothSides"/>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4"/>
                    <a:srcRect/>
                    <a:stretch>
                      <a:fillRect/>
                    </a:stretch>
                  </pic:blipFill>
                  <pic:spPr bwMode="auto">
                    <a:xfrm>
                      <a:off x="0" y="0"/>
                      <a:ext cx="3681095" cy="2609850"/>
                    </a:xfrm>
                    <a:prstGeom prst="rect">
                      <a:avLst/>
                    </a:prstGeom>
                    <a:noFill/>
                    <a:ln w="9525">
                      <a:noFill/>
                      <a:miter lim="800000"/>
                      <a:headEnd/>
                      <a:tailEnd/>
                    </a:ln>
                  </pic:spPr>
                </pic:pic>
              </a:graphicData>
            </a:graphic>
          </wp:anchor>
        </w:drawing>
      </w:r>
    </w:p>
    <w:p>
      <w:pPr>
        <w:pStyle w:val="style25"/>
        <w:numPr>
          <w:ilvl w:val="0"/>
          <w:numId w:val="2"/>
        </w:numPr>
        <w:shd w:fill="FFC000" w:val="clear"/>
        <w:rPr>
          <w:b/>
          <w:i/>
          <w:sz w:val="32"/>
          <w:szCs w:val="32"/>
          <w:lang w:val="en-US"/>
        </w:rPr>
      </w:pPr>
      <w:r>
        <w:rPr>
          <w:b/>
          <w:sz w:val="32"/>
          <w:szCs w:val="32"/>
          <w:lang w:val="en-US"/>
        </w:rPr>
        <w:t xml:space="preserve">THE VESTIBULE, </w:t>
      </w:r>
      <w:r>
        <w:rPr>
          <w:b/>
          <w:i/>
          <w:sz w:val="32"/>
          <w:szCs w:val="32"/>
          <w:lang w:val="en-US"/>
        </w:rPr>
        <w:t>which connected the Great and small Baths;</w:t>
      </w:r>
    </w:p>
    <w:p>
      <w:pPr>
        <w:pStyle w:val="style25"/>
        <w:numPr>
          <w:ilvl w:val="0"/>
          <w:numId w:val="2"/>
        </w:numPr>
        <w:shd w:fill="FFC000" w:val="clear"/>
        <w:rPr>
          <w:b/>
          <w:i/>
          <w:sz w:val="32"/>
          <w:szCs w:val="32"/>
          <w:lang w:val="en-US"/>
        </w:rPr>
      </w:pPr>
      <w:r>
        <w:rPr>
          <w:b/>
          <w:sz w:val="32"/>
          <w:szCs w:val="32"/>
          <w:lang w:val="en-US"/>
        </w:rPr>
        <w:t xml:space="preserve">THE CANOPUS, </w:t>
      </w:r>
      <w:r>
        <w:rPr>
          <w:b/>
          <w:i/>
          <w:sz w:val="32"/>
          <w:szCs w:val="32"/>
          <w:lang w:val="en-US"/>
        </w:rPr>
        <w:t>a long canal lined by columns of caryatids in homage to the ancient Egyptian city of the same name;</w:t>
      </w:r>
    </w:p>
    <w:p>
      <w:pPr>
        <w:pStyle w:val="style25"/>
        <w:numPr>
          <w:ilvl w:val="0"/>
          <w:numId w:val="2"/>
        </w:numPr>
        <w:shd w:fill="FFC000" w:val="clear"/>
        <w:rPr>
          <w:b/>
          <w:i/>
          <w:sz w:val="32"/>
          <w:szCs w:val="32"/>
          <w:lang w:val="en-US"/>
        </w:rPr>
      </w:pPr>
      <w:r>
        <w:rPr>
          <w:b/>
          <w:sz w:val="32"/>
          <w:szCs w:val="32"/>
          <w:lang w:val="en-US"/>
        </w:rPr>
        <w:t xml:space="preserve">THE MARITIME THEATRE, </w:t>
      </w:r>
      <w:r>
        <w:rPr>
          <w:b/>
          <w:i/>
          <w:sz w:val="32"/>
          <w:szCs w:val="32"/>
          <w:lang w:val="en-US"/>
        </w:rPr>
        <w:t>a portico which contained a round pool representing the sea;</w:t>
      </w:r>
    </w:p>
    <w:p>
      <w:pPr>
        <w:pStyle w:val="style25"/>
        <w:numPr>
          <w:ilvl w:val="0"/>
          <w:numId w:val="2"/>
        </w:numPr>
        <w:shd w:fill="FFC000" w:val="clear"/>
        <w:rPr>
          <w:b/>
          <w:i/>
          <w:sz w:val="32"/>
          <w:szCs w:val="32"/>
          <w:lang w:val="en-US"/>
        </w:rPr>
      </w:pPr>
      <w:r>
        <w:rPr>
          <w:b/>
          <w:sz w:val="32"/>
          <w:szCs w:val="32"/>
          <w:lang w:val="en-US"/>
        </w:rPr>
        <w:t xml:space="preserve">THE PECILE, </w:t>
      </w:r>
      <w:r>
        <w:rPr>
          <w:b/>
          <w:i/>
          <w:sz w:val="32"/>
          <w:szCs w:val="32"/>
          <w:lang w:val="en-US"/>
        </w:rPr>
        <w:t>a long covered portico once used for panoramic strolls;</w:t>
      </w:r>
    </w:p>
    <w:p>
      <w:pPr>
        <w:pStyle w:val="style25"/>
        <w:numPr>
          <w:ilvl w:val="0"/>
          <w:numId w:val="2"/>
        </w:numPr>
        <w:shd w:fill="FFC000" w:val="clear"/>
        <w:rPr>
          <w:b/>
          <w:i/>
          <w:sz w:val="32"/>
          <w:szCs w:val="32"/>
          <w:lang w:val="en-US"/>
        </w:rPr>
      </w:pPr>
      <w:r>
        <w:rPr>
          <w:b/>
          <w:sz w:val="32"/>
          <w:szCs w:val="32"/>
          <w:lang w:val="en-US"/>
        </w:rPr>
        <w:t>THE GREAT AND SMALL BATHS,</w:t>
      </w:r>
      <w:r>
        <w:rPr>
          <w:b/>
          <w:i/>
          <w:sz w:val="32"/>
          <w:szCs w:val="32"/>
          <w:lang w:val="en-US"/>
        </w:rPr>
        <w:t xml:space="preserve"> places where endless days would be spent on wellness;</w:t>
      </w:r>
    </w:p>
    <w:p>
      <w:pPr>
        <w:pStyle w:val="style25"/>
        <w:numPr>
          <w:ilvl w:val="0"/>
          <w:numId w:val="2"/>
        </w:numPr>
        <w:shd w:fill="FFC000" w:val="clear"/>
        <w:rPr>
          <w:b/>
          <w:i/>
          <w:sz w:val="32"/>
          <w:szCs w:val="32"/>
          <w:lang w:val="en-US"/>
        </w:rPr>
      </w:pPr>
      <w:r>
        <w:rPr>
          <w:b/>
          <w:sz w:val="32"/>
          <w:szCs w:val="32"/>
          <w:lang w:val="en-US"/>
        </w:rPr>
        <w:t xml:space="preserve">THE GREEK THEATRE, </w:t>
      </w:r>
      <w:r>
        <w:rPr>
          <w:b/>
          <w:i/>
          <w:sz w:val="32"/>
          <w:szCs w:val="32"/>
          <w:lang w:val="en-US"/>
        </w:rPr>
        <w:t>a small court theatre reserved to only a few guests;</w:t>
      </w:r>
    </w:p>
    <w:p>
      <w:pPr>
        <w:pStyle w:val="style25"/>
        <w:numPr>
          <w:ilvl w:val="0"/>
          <w:numId w:val="2"/>
        </w:numPr>
        <w:shd w:fill="FFC000" w:val="clear"/>
        <w:rPr>
          <w:b/>
          <w:i/>
          <w:sz w:val="32"/>
          <w:szCs w:val="32"/>
          <w:lang w:val="en-US"/>
        </w:rPr>
      </w:pPr>
      <w:r>
        <w:rPr>
          <w:b/>
          <w:sz w:val="32"/>
          <w:szCs w:val="32"/>
          <w:lang w:val="en-US"/>
        </w:rPr>
        <w:t>THE GREEK LIBRARY AND LATIN LIBRARY,</w:t>
      </w:r>
      <w:r>
        <w:rPr>
          <w:b/>
          <w:i/>
          <w:sz w:val="32"/>
          <w:szCs w:val="32"/>
          <w:lang w:val="en-US"/>
        </w:rPr>
        <w:t xml:space="preserve"> : repositories of knowledge.</w:t>
      </w:r>
    </w:p>
    <w:p>
      <w:pPr>
        <w:pStyle w:val="style0"/>
        <w:shd w:fill="FFC000" w:val="clear"/>
        <w:rPr>
          <w:rFonts w:ascii="Arial" w:cs="Arial" w:hAnsi="Arial"/>
          <w:color w:val="222222"/>
          <w:sz w:val="32"/>
          <w:szCs w:val="32"/>
        </w:rPr>
      </w:pPr>
      <w:r>
        <w:rPr>
          <w:rFonts w:ascii="Arial" w:cs="Arial" w:hAnsi="Arial"/>
          <w:color w:val="222222"/>
          <w:sz w:val="32"/>
          <w:szCs w:val="32"/>
        </w:rPr>
        <w:t xml:space="preserve">In the 16th century, </w:t>
      </w:r>
      <w:hyperlink r:id="rId5">
        <w:r>
          <w:rPr>
            <w:rStyle w:val="style17"/>
            <w:rFonts w:ascii="Arial" w:cs="Arial" w:hAnsi="Arial"/>
            <w:color w:val="0645AD"/>
            <w:sz w:val="32"/>
            <w:szCs w:val="32"/>
            <w:u w:val="single"/>
          </w:rPr>
          <w:t>Cardinal</w:t>
        </w:r>
      </w:hyperlink>
      <w:r>
        <w:rPr>
          <w:rFonts w:ascii="Arial" w:cs="Arial" w:hAnsi="Arial"/>
          <w:color w:val="222222"/>
          <w:sz w:val="32"/>
          <w:szCs w:val="32"/>
        </w:rPr>
        <w:t xml:space="preserve"> </w:t>
      </w:r>
      <w:hyperlink r:id="rId6">
        <w:r>
          <w:rPr>
            <w:rStyle w:val="style17"/>
            <w:rFonts w:ascii="Arial" w:cs="Arial" w:hAnsi="Arial"/>
            <w:color w:val="0645AD"/>
            <w:sz w:val="32"/>
            <w:szCs w:val="32"/>
            <w:u w:val="single"/>
          </w:rPr>
          <w:t>Ippolito II d'Este</w:t>
        </w:r>
      </w:hyperlink>
      <w:r>
        <w:rPr>
          <w:rFonts w:ascii="Arial" w:cs="Arial" w:hAnsi="Arial"/>
          <w:color w:val="222222"/>
          <w:sz w:val="32"/>
          <w:szCs w:val="32"/>
        </w:rPr>
        <w:t xml:space="preserve"> had much of the</w:t>
      </w:r>
      <w:bookmarkStart w:id="0" w:name="_GoBack"/>
      <w:bookmarkEnd w:id="0"/>
      <w:r>
        <w:rPr>
          <w:rFonts w:ascii="Arial" w:cs="Arial" w:hAnsi="Arial"/>
          <w:color w:val="222222"/>
          <w:sz w:val="32"/>
          <w:szCs w:val="32"/>
        </w:rPr>
        <w:t xml:space="preserve"> remaining marble and statues in Hadrian's Villa removed to decorate his own </w:t>
      </w:r>
      <w:hyperlink r:id="rId7">
        <w:r>
          <w:rPr>
            <w:rStyle w:val="style17"/>
            <w:rFonts w:ascii="Arial" w:cs="Arial" w:hAnsi="Arial"/>
            <w:color w:val="0645AD"/>
            <w:sz w:val="32"/>
            <w:szCs w:val="32"/>
            <w:u w:val="single"/>
          </w:rPr>
          <w:t>Villa d'Este</w:t>
        </w:r>
      </w:hyperlink>
      <w:r>
        <w:rPr>
          <w:rFonts w:ascii="Arial" w:cs="Arial" w:hAnsi="Arial"/>
          <w:color w:val="222222"/>
          <w:sz w:val="32"/>
          <w:szCs w:val="32"/>
        </w:rPr>
        <w:t xml:space="preserve"> located nearby. Since that period excavations have sporadically turned up more fragments and sculptures, some of which have been kept in situ or housed on site in the display buildings. </w:t>
      </w:r>
    </w:p>
    <w:p>
      <w:pPr>
        <w:pStyle w:val="style0"/>
        <w:shd w:fill="FFC000" w:val="clear"/>
        <w:rPr/>
      </w:pPr>
      <w:r>
        <w:rPr/>
        <w:drawing>
          <wp:inline distB="0" distL="0" distR="0" distT="0">
            <wp:extent cx="4600575" cy="3549650"/>
            <wp:effectExtent b="0" l="0" r="0" t="0"/>
            <wp:docPr descr="Visualizza immagine di origine"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isualizza immagine di origine" id="2" name="Picture"/>
                    <pic:cNvPicPr>
                      <a:picLocks noChangeArrowheads="1" noChangeAspect="1"/>
                    </pic:cNvPicPr>
                  </pic:nvPicPr>
                  <pic:blipFill>
                    <a:blip r:embed="rId8"/>
                    <a:srcRect/>
                    <a:stretch>
                      <a:fillRect/>
                    </a:stretch>
                  </pic:blipFill>
                  <pic:spPr bwMode="auto">
                    <a:xfrm>
                      <a:off x="0" y="0"/>
                      <a:ext cx="4600575" cy="3549650"/>
                    </a:xfrm>
                    <a:prstGeom prst="rect">
                      <a:avLst/>
                    </a:prstGeom>
                    <a:noFill/>
                    <a:ln w="9525">
                      <a:noFill/>
                      <a:miter lim="800000"/>
                      <a:headEnd/>
                      <a:tailEnd/>
                    </a:ln>
                  </pic:spPr>
                </pic:pic>
              </a:graphicData>
            </a:graphic>
          </wp:inline>
        </w:drawing>
      </w:r>
      <w:r>
        <w:rPr/>
        <w:drawing>
          <wp:inline distB="0" distL="0" distR="0" distT="0">
            <wp:extent cx="4619625" cy="2533015"/>
            <wp:effectExtent b="0" l="0" r="0" t="0"/>
            <wp:docPr descr="https://media-cdn.tripadvisor.com/media/photo-s/01/0f/6a/2d/villa-adriana-2008.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media-cdn.tripadvisor.com/media/photo-s/01/0f/6a/2d/villa-adriana-2008.jpg" id="3" name="Picture"/>
                    <pic:cNvPicPr>
                      <a:picLocks noChangeArrowheads="1" noChangeAspect="1"/>
                    </pic:cNvPicPr>
                  </pic:nvPicPr>
                  <pic:blipFill>
                    <a:blip r:embed="rId9"/>
                    <a:srcRect/>
                    <a:stretch>
                      <a:fillRect/>
                    </a:stretch>
                  </pic:blipFill>
                  <pic:spPr bwMode="auto">
                    <a:xfrm>
                      <a:off x="0" y="0"/>
                      <a:ext cx="4619625" cy="2533015"/>
                    </a:xfrm>
                    <a:prstGeom prst="rect">
                      <a:avLst/>
                    </a:prstGeom>
                    <a:noFill/>
                    <a:ln w="9525">
                      <a:noFill/>
                      <a:miter lim="800000"/>
                      <a:headEnd/>
                      <a:tailEnd/>
                    </a:ln>
                  </pic:spPr>
                </pic:pic>
              </a:graphicData>
            </a:graphic>
          </wp:inline>
        </w:drawing>
      </w:r>
    </w:p>
    <w:p>
      <w:pPr>
        <w:pStyle w:val="style0"/>
        <w:shd w:fill="FFC000" w:val="clear"/>
        <w:rPr/>
      </w:pPr>
      <w:r>
        <w:rPr/>
        <w:drawing>
          <wp:inline distB="0" distL="0" distR="0" distT="0">
            <wp:extent cx="5572125" cy="3895725"/>
            <wp:effectExtent b="0" l="0" r="0" t="0"/>
            <wp:docPr descr="Visualizza immagine di origine"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isualizza immagine di origine" id="4" name="Picture"/>
                    <pic:cNvPicPr>
                      <a:picLocks noChangeArrowheads="1" noChangeAspect="1"/>
                    </pic:cNvPicPr>
                  </pic:nvPicPr>
                  <pic:blipFill>
                    <a:blip r:embed="rId10"/>
                    <a:srcRect/>
                    <a:stretch>
                      <a:fillRect/>
                    </a:stretch>
                  </pic:blipFill>
                  <pic:spPr bwMode="auto">
                    <a:xfrm>
                      <a:off x="0" y="0"/>
                      <a:ext cx="5572125" cy="3895725"/>
                    </a:xfrm>
                    <a:prstGeom prst="rect">
                      <a:avLst/>
                    </a:prstGeom>
                    <a:noFill/>
                    <a:ln w="9525">
                      <a:noFill/>
                      <a:miter lim="800000"/>
                      <a:headEnd/>
                      <a:tailEnd/>
                    </a:ln>
                  </pic:spPr>
                </pic:pic>
              </a:graphicData>
            </a:graphic>
          </wp:inline>
        </w:drawing>
      </w:r>
    </w:p>
    <w:p>
      <w:pPr>
        <w:pStyle w:val="style0"/>
        <w:shd w:fill="FFC000" w:val="clear"/>
        <w:rPr>
          <w:lang w:val="en-US"/>
        </w:rPr>
      </w:pPr>
      <w:r>
        <w:rPr>
          <w:lang w:val="en-US"/>
        </w:rPr>
      </w:r>
    </w:p>
    <w:p>
      <w:pPr>
        <w:pStyle w:val="style0"/>
        <w:shd w:fill="FFC000" w:val="clear"/>
        <w:rPr>
          <w:lang w:val="en-US"/>
        </w:rPr>
      </w:pPr>
      <w:r>
        <w:rPr>
          <w:lang w:val="en-US"/>
        </w:rPr>
      </w:r>
    </w:p>
    <w:p>
      <w:pPr>
        <w:pStyle w:val="style0"/>
        <w:shd w:fill="FFC000" w:val="clear"/>
        <w:rPr>
          <w:lang w:val="en-US"/>
        </w:rPr>
      </w:pPr>
      <w:r>
        <w:rPr>
          <w:lang w:val="en-US"/>
        </w:rPr>
      </w:r>
    </w:p>
    <w:p>
      <w:pPr>
        <w:pStyle w:val="style0"/>
        <w:shd w:fill="FFC000" w:val="clear"/>
        <w:rPr>
          <w:lang w:val="en-US"/>
        </w:rPr>
      </w:pPr>
      <w:r>
        <w:rPr>
          <w:lang w:val="en-US"/>
        </w:rPr>
      </w:r>
    </w:p>
    <w:p>
      <w:pPr>
        <w:pStyle w:val="style0"/>
        <w:shd w:fill="FFC000" w:val="clear"/>
        <w:rPr>
          <w:lang w:val="en-US"/>
        </w:rPr>
      </w:pPr>
      <w:r>
        <w:rPr>
          <w:lang w:val="en-US"/>
        </w:rPr>
      </w:r>
    </w:p>
    <w:p>
      <w:pPr>
        <w:pStyle w:val="style0"/>
        <w:shd w:fill="FFC000" w:val="clear"/>
        <w:rPr>
          <w:lang w:val="en-US"/>
        </w:rPr>
      </w:pPr>
      <w:r>
        <w:rPr>
          <w:lang w:val="en-US"/>
        </w:rPr>
      </w:r>
    </w:p>
    <w:p>
      <w:pPr>
        <w:pStyle w:val="style0"/>
        <w:shd w:fill="FFC000" w:val="clear"/>
        <w:rPr>
          <w:lang w:val="en-US"/>
        </w:rPr>
      </w:pPr>
      <w:r>
        <w:rPr>
          <w:lang w:val="en-US"/>
        </w:rPr>
      </w:r>
    </w:p>
    <w:p>
      <w:pPr>
        <w:pStyle w:val="style0"/>
        <w:shd w:fill="FFC000" w:val="clear"/>
        <w:rPr>
          <w:lang w:val="en-US"/>
        </w:rPr>
      </w:pPr>
      <w:r>
        <w:rPr>
          <w:lang w:val="en-US"/>
        </w:rPr>
      </w:r>
    </w:p>
    <w:p>
      <w:pPr>
        <w:pStyle w:val="style0"/>
        <w:shd w:fill="FFC000" w:val="clear"/>
        <w:rPr>
          <w:lang w:val="en-US"/>
        </w:rPr>
      </w:pPr>
      <w:r>
        <w:rPr>
          <w:lang w:val="en-US"/>
        </w:rPr>
      </w:r>
    </w:p>
    <w:p>
      <w:pPr>
        <w:pStyle w:val="style0"/>
        <w:rPr/>
      </w:pPr>
      <w:r>
        <w:rPr/>
      </w:r>
    </w:p>
    <w:sectPr>
      <w:type w:val="nextPage"/>
      <w:pgSz w:h="16838" w:w="11906"/>
      <w:pgMar w:bottom="1134" w:footer="0" w:gutter="0" w:header="0" w:left="1134" w:right="1134" w:top="1417"/>
      <w:pgNumType w:fmt="decimal"/>
      <w:formProt w:val="false"/>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Arial Black">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
    <w:lvl w:ilvl="0">
      <w:start w:val="1"/>
      <w:numFmt w:val="bullet"/>
      <w:lvlText w:val=""/>
      <w:lvlJc w:val="left"/>
      <w:pPr>
        <w:ind w:hanging="360" w:left="1545"/>
      </w:pPr>
      <w:rPr>
        <w:rFonts w:ascii="Symbol" w:cs="Symbol" w:hAnsi="Symbol" w:hint="default"/>
      </w:rPr>
    </w:lvl>
    <w:lvl w:ilvl="1">
      <w:start w:val="1"/>
      <w:numFmt w:val="bullet"/>
      <w:lvlText w:val="o"/>
      <w:lvlJc w:val="left"/>
      <w:pPr>
        <w:ind w:hanging="360" w:left="2265"/>
      </w:pPr>
      <w:rPr>
        <w:rFonts w:ascii="Courier New" w:cs="Courier New" w:hAnsi="Courier New" w:hint="default"/>
      </w:rPr>
    </w:lvl>
    <w:lvl w:ilvl="2">
      <w:start w:val="1"/>
      <w:numFmt w:val="bullet"/>
      <w:lvlText w:val=""/>
      <w:lvlJc w:val="left"/>
      <w:pPr>
        <w:ind w:hanging="360" w:left="2985"/>
      </w:pPr>
      <w:rPr>
        <w:rFonts w:ascii="Wingdings" w:cs="Wingdings" w:hAnsi="Wingdings" w:hint="default"/>
      </w:rPr>
    </w:lvl>
    <w:lvl w:ilvl="3">
      <w:start w:val="1"/>
      <w:numFmt w:val="bullet"/>
      <w:lvlText w:val=""/>
      <w:lvlJc w:val="left"/>
      <w:pPr>
        <w:ind w:hanging="360" w:left="3705"/>
      </w:pPr>
      <w:rPr>
        <w:rFonts w:ascii="Symbol" w:cs="Symbol" w:hAnsi="Symbol" w:hint="default"/>
      </w:rPr>
    </w:lvl>
    <w:lvl w:ilvl="4">
      <w:start w:val="1"/>
      <w:numFmt w:val="bullet"/>
      <w:lvlText w:val="o"/>
      <w:lvlJc w:val="left"/>
      <w:pPr>
        <w:ind w:hanging="360" w:left="4425"/>
      </w:pPr>
      <w:rPr>
        <w:rFonts w:ascii="Courier New" w:cs="Courier New" w:hAnsi="Courier New" w:hint="default"/>
      </w:rPr>
    </w:lvl>
    <w:lvl w:ilvl="5">
      <w:start w:val="1"/>
      <w:numFmt w:val="bullet"/>
      <w:lvlText w:val=""/>
      <w:lvlJc w:val="left"/>
      <w:pPr>
        <w:ind w:hanging="360" w:left="5145"/>
      </w:pPr>
      <w:rPr>
        <w:rFonts w:ascii="Wingdings" w:cs="Wingdings" w:hAnsi="Wingdings" w:hint="default"/>
      </w:rPr>
    </w:lvl>
    <w:lvl w:ilvl="6">
      <w:start w:val="1"/>
      <w:numFmt w:val="bullet"/>
      <w:lvlText w:val=""/>
      <w:lvlJc w:val="left"/>
      <w:pPr>
        <w:ind w:hanging="360" w:left="5865"/>
      </w:pPr>
      <w:rPr>
        <w:rFonts w:ascii="Symbol" w:cs="Symbol" w:hAnsi="Symbol" w:hint="default"/>
      </w:rPr>
    </w:lvl>
    <w:lvl w:ilvl="7">
      <w:start w:val="1"/>
      <w:numFmt w:val="bullet"/>
      <w:lvlText w:val="o"/>
      <w:lvlJc w:val="left"/>
      <w:pPr>
        <w:ind w:hanging="360" w:left="6585"/>
      </w:pPr>
      <w:rPr>
        <w:rFonts w:ascii="Courier New" w:cs="Courier New" w:hAnsi="Courier New" w:hint="default"/>
      </w:rPr>
    </w:lvl>
    <w:lvl w:ilvl="8">
      <w:start w:val="1"/>
      <w:numFmt w:val="bullet"/>
      <w:lvlText w:val=""/>
      <w:lvlJc w:val="left"/>
      <w:pPr>
        <w:ind w:hanging="360" w:left="7305"/>
      </w:pPr>
      <w:rPr>
        <w:rFonts w:ascii="Wingdings" w:cs="Wingdings" w:hAnsi="Wingdings" w:hint="default"/>
      </w:rPr>
    </w:lvl>
  </w:abstractNum>
  <w:abstractNum w:abstractNumId="3">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Calibri" w:eastAsia="SimSun" w:hAnsi="Calibri"/>
      <w:color w:val="auto"/>
      <w:sz w:val="22"/>
      <w:szCs w:val="22"/>
      <w:lang w:bidi="ar-SA" w:eastAsia="en-US" w:val="it-IT"/>
    </w:rPr>
  </w:style>
  <w:style w:styleId="style15" w:type="character">
    <w:name w:val="Default Paragraph Font"/>
    <w:next w:val="style15"/>
    <w:rPr/>
  </w:style>
  <w:style w:styleId="style16" w:type="character">
    <w:name w:val="Testo fumetto Carattere"/>
    <w:basedOn w:val="style15"/>
    <w:next w:val="style16"/>
    <w:rPr>
      <w:rFonts w:ascii="Tahoma" w:cs="Tahoma" w:hAnsi="Tahoma"/>
      <w:sz w:val="16"/>
      <w:szCs w:val="16"/>
    </w:rPr>
  </w:style>
  <w:style w:styleId="style17" w:type="character">
    <w:name w:val="Collegamento Internet"/>
    <w:basedOn w:val="style15"/>
    <w:next w:val="style17"/>
    <w:rPr>
      <w:color w:val="0000FF"/>
      <w:u w:val="single"/>
      <w:lang w:bidi="zxx-" w:eastAsia="zxx-" w:val="zxx-"/>
    </w:rPr>
  </w:style>
  <w:style w:styleId="style18" w:type="character">
    <w:name w:val="ListLabel 1"/>
    <w:next w:val="style18"/>
    <w:rPr>
      <w:rFonts w:cs="Courier New"/>
    </w:rPr>
  </w:style>
  <w:style w:styleId="style19" w:type="paragraph">
    <w:name w:val="Titolo"/>
    <w:basedOn w:val="style0"/>
    <w:next w:val="style20"/>
    <w:pPr>
      <w:keepNext/>
      <w:spacing w:after="120" w:before="240"/>
      <w:contextualSpacing w:val="false"/>
    </w:pPr>
    <w:rPr>
      <w:rFonts w:ascii="Arial" w:cs="Arial" w:eastAsia="Microsoft YaHei" w:hAnsi="Arial"/>
      <w:sz w:val="28"/>
      <w:szCs w:val="28"/>
    </w:rPr>
  </w:style>
  <w:style w:styleId="style20" w:type="paragraph">
    <w:name w:val="Corpo del testo"/>
    <w:basedOn w:val="style0"/>
    <w:next w:val="style20"/>
    <w:pPr>
      <w:spacing w:after="120" w:before="0"/>
      <w:contextualSpacing w:val="false"/>
    </w:pPr>
    <w:rPr/>
  </w:style>
  <w:style w:styleId="style21" w:type="paragraph">
    <w:name w:val="Elenco"/>
    <w:basedOn w:val="style20"/>
    <w:next w:val="style21"/>
    <w:pPr/>
    <w:rPr>
      <w:rFonts w:cs="Arial"/>
    </w:rPr>
  </w:style>
  <w:style w:styleId="style22" w:type="paragraph">
    <w:name w:val="Didascalia"/>
    <w:basedOn w:val="style0"/>
    <w:next w:val="style22"/>
    <w:pPr>
      <w:suppressLineNumbers/>
      <w:spacing w:after="120" w:before="120"/>
      <w:contextualSpacing w:val="false"/>
    </w:pPr>
    <w:rPr>
      <w:rFonts w:cs="Arial"/>
      <w:i/>
      <w:iCs/>
      <w:sz w:val="24"/>
      <w:szCs w:val="24"/>
    </w:rPr>
  </w:style>
  <w:style w:styleId="style23" w:type="paragraph">
    <w:name w:val="Indice"/>
    <w:basedOn w:val="style0"/>
    <w:next w:val="style23"/>
    <w:pPr>
      <w:suppressLineNumbers/>
    </w:pPr>
    <w:rPr>
      <w:rFonts w:cs="Arial"/>
    </w:rPr>
  </w:style>
  <w:style w:styleId="style24" w:type="paragraph">
    <w:name w:val="Balloon Text"/>
    <w:basedOn w:val="style0"/>
    <w:next w:val="style24"/>
    <w:pPr>
      <w:spacing w:after="0" w:before="0" w:line="100" w:lineRule="atLeast"/>
      <w:contextualSpacing w:val="false"/>
    </w:pPr>
    <w:rPr>
      <w:rFonts w:ascii="Tahoma" w:cs="Tahoma" w:hAnsi="Tahoma"/>
      <w:sz w:val="16"/>
      <w:szCs w:val="16"/>
    </w:rPr>
  </w:style>
  <w:style w:styleId="style25" w:type="paragraph">
    <w:name w:val="List Paragraph"/>
    <w:basedOn w:val="style0"/>
    <w:next w:val="style25"/>
    <w:pPr>
      <w:spacing w:after="200" w:before="0"/>
      <w:ind w:hanging="0" w:left="720" w:right="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villaadriana@coopculture.it" TargetMode="External"/><Relationship Id="rId4" Type="http://schemas.openxmlformats.org/officeDocument/2006/relationships/image" Target="media/image2.png"/><Relationship Id="rId5" Type="http://schemas.openxmlformats.org/officeDocument/2006/relationships/hyperlink" Target="https://en.wikipedia.org/wiki/Cardinal_(Catholicism)" TargetMode="External"/><Relationship Id="rId6" Type="http://schemas.openxmlformats.org/officeDocument/2006/relationships/hyperlink" Target="https://en.wikipedia.org/wiki/Ippolito_II_d&apos;Este" TargetMode="External"/><Relationship Id="rId7" Type="http://schemas.openxmlformats.org/officeDocument/2006/relationships/hyperlink" Target="https://en.wikipedia.org/wiki/Villa_d&apos;Este"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2018-05-22T15:49:00Z</dcterms:created>
  <dc:creator>PC 7</dc:creator>
  <cp:lastModifiedBy>maria pia procopio</cp:lastModifiedBy>
  <dcterms:modified xsi:type="dcterms:W3CDTF">2018-05-22T15:49:00Z</dcterms:modified>
  <cp:revision>3</cp:revision>
</cp:coreProperties>
</file>